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275262">
        <w:rPr>
          <w:rFonts w:ascii="Times New Roman" w:eastAsia="Times New Roman" w:hAnsi="Times New Roman"/>
          <w:color w:val="303030"/>
          <w:sz w:val="24"/>
          <w:szCs w:val="24"/>
        </w:rPr>
        <w:t>Банайюртовская</w:t>
      </w:r>
      <w:proofErr w:type="spellEnd"/>
      <w:r w:rsidR="007A406A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F01630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14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7A40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A40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06A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компонентов какой - либо части (темы) конкретного учебного предмета в процессе его изучения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</w:t>
      </w:r>
      <w:proofErr w:type="spellEnd"/>
      <w:r w:rsidRPr="007C6E04">
        <w:rPr>
          <w:rFonts w:ascii="Times New Roman" w:hAnsi="Times New Roman"/>
          <w:sz w:val="24"/>
          <w:szCs w:val="24"/>
        </w:rPr>
        <w:t>-коммуникативных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вводится отметочное обучение</w:t>
      </w:r>
      <w:r w:rsidR="00F01630">
        <w:rPr>
          <w:rFonts w:ascii="Times New Roman" w:hAnsi="Times New Roman"/>
          <w:sz w:val="24"/>
          <w:szCs w:val="24"/>
        </w:rPr>
        <w:t xml:space="preserve"> по 5-ти бальной системе</w:t>
      </w:r>
      <w:r w:rsidRPr="007C6E04">
        <w:rPr>
          <w:rFonts w:ascii="Times New Roman" w:hAnsi="Times New Roman"/>
          <w:sz w:val="24"/>
          <w:szCs w:val="24"/>
        </w:rPr>
        <w:t>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FB"/>
    <w:rsid w:val="00023DED"/>
    <w:rsid w:val="00026672"/>
    <w:rsid w:val="0008032E"/>
    <w:rsid w:val="00275262"/>
    <w:rsid w:val="002C507B"/>
    <w:rsid w:val="004047A6"/>
    <w:rsid w:val="004678C9"/>
    <w:rsid w:val="00483F06"/>
    <w:rsid w:val="006A7903"/>
    <w:rsid w:val="00771411"/>
    <w:rsid w:val="007A406A"/>
    <w:rsid w:val="008B0A1D"/>
    <w:rsid w:val="009524EF"/>
    <w:rsid w:val="009F59BF"/>
    <w:rsid w:val="00A35006"/>
    <w:rsid w:val="00AA545B"/>
    <w:rsid w:val="00B33675"/>
    <w:rsid w:val="00B94382"/>
    <w:rsid w:val="00F01630"/>
    <w:rsid w:val="00F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DADDE-5D52-421D-B57C-7DEA46C6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2021-11-08T11:42:00Z</dcterms:created>
  <dcterms:modified xsi:type="dcterms:W3CDTF">2021-11-08T11:42:00Z</dcterms:modified>
</cp:coreProperties>
</file>